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2A6D0C" w:rsidR="00CE352C" w:rsidRDefault="00CE352C" w:rsidP="00CE352C">
      <w:pPr>
        <w:jc w:val="both"/>
      </w:pPr>
      <w:r>
        <w:t xml:space="preserve">г. Иркутск                                                                                     </w:t>
      </w:r>
      <w:proofErr w:type="gramStart"/>
      <w:r>
        <w:t xml:space="preserve">   «</w:t>
      </w:r>
      <w:proofErr w:type="gramEnd"/>
      <w:r>
        <w:t>___»______________ 202</w:t>
      </w:r>
      <w:r w:rsidR="00A40E5E">
        <w:t>4</w:t>
      </w:r>
      <w:r>
        <w:t xml:space="preserve"> г.</w:t>
      </w:r>
    </w:p>
    <w:p w14:paraId="4E21E149" w14:textId="77777777" w:rsidR="00CE352C" w:rsidRDefault="00CE352C" w:rsidP="00CE352C"/>
    <w:p w14:paraId="04CC887D" w14:textId="77777777" w:rsidR="00CE352C" w:rsidRDefault="00CE352C" w:rsidP="00CE352C"/>
    <w:p w14:paraId="359CC428" w14:textId="3E41751E"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директора филиала ООО «</w:t>
      </w:r>
      <w:proofErr w:type="spellStart"/>
      <w:r>
        <w:rPr>
          <w:spacing w:val="-4"/>
        </w:rPr>
        <w:t>ЕвроСибЭнерго-Гидрогенерация</w:t>
      </w:r>
      <w:proofErr w:type="spellEnd"/>
      <w:r>
        <w:rPr>
          <w:spacing w:val="-4"/>
        </w:rPr>
        <w:t xml:space="preserve">»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от </w:t>
      </w:r>
      <w:r w:rsidR="00652DFC">
        <w:rPr>
          <w:spacing w:val="-4"/>
        </w:rPr>
        <w:t xml:space="preserve">           </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r w:rsidR="008D04C3">
        <w:t>п</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396D9A39" w14:textId="3CC2484F" w:rsidR="0043144F" w:rsidRPr="0043144F" w:rsidRDefault="00B55B4E" w:rsidP="0043144F">
      <w:pPr>
        <w:jc w:val="both"/>
        <w:rPr>
          <w:b/>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B624B5">
        <w:t>содержания</w:t>
      </w:r>
      <w:r w:rsidR="003D1C41" w:rsidRPr="0043144F">
        <w:rPr>
          <w:b/>
        </w:rPr>
        <w:t>:</w:t>
      </w:r>
      <w:r w:rsidR="00F27211" w:rsidRPr="0043144F">
        <w:rPr>
          <w:b/>
        </w:rPr>
        <w:t xml:space="preserve"> «</w:t>
      </w:r>
      <w:r w:rsidR="0043144F" w:rsidRPr="0043144F">
        <w:rPr>
          <w:b/>
        </w:rPr>
        <w:t>Здание гидростанции инв №ТГ0001142. Здание главного входа инв №ИРГ_000006. Здание пpоизводственных служб инв.№ИРГ_000008. Здание столовой инв.№ИРГ_000009. Здание ВОХР инв.№ИРГ_000007. Хоздвор ИГЭС инв.№ИРГ_000030. Техническое обслуживание зданий</w:t>
      </w:r>
    </w:p>
    <w:p w14:paraId="1473DD60" w14:textId="417AFA5C" w:rsidR="003D1C41" w:rsidRPr="008C0012" w:rsidRDefault="00F27211" w:rsidP="00B5072A">
      <w:pPr>
        <w:jc w:val="both"/>
      </w:pPr>
      <w:r w:rsidRPr="00652DFC">
        <w:rPr>
          <w:b/>
        </w:rPr>
        <w:t>»</w:t>
      </w:r>
      <w:r w:rsidR="00A26BE8" w:rsidRPr="00652DFC">
        <w:rPr>
          <w:b/>
        </w:rPr>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proofErr w:type="gramStart"/>
      <w:r w:rsidRPr="00B624B5">
        <w:rPr>
          <w:b/>
        </w:rPr>
        <w:t>К</w:t>
      </w:r>
      <w:proofErr w:type="gramEnd"/>
      <w:r w:rsidRPr="00B624B5">
        <w:rPr>
          <w:b/>
        </w:rPr>
        <w:t>=.</w:t>
      </w:r>
    </w:p>
    <w:p w14:paraId="1369B024" w14:textId="7C7F194A" w:rsidR="00B624B5" w:rsidRDefault="00B624B5" w:rsidP="00B624B5">
      <w:pPr>
        <w:pStyle w:val="a4"/>
        <w:numPr>
          <w:ilvl w:val="1"/>
          <w:numId w:val="39"/>
        </w:numPr>
        <w:ind w:left="0" w:firstLine="0"/>
      </w:pPr>
      <w:r>
        <w:lastRenderedPageBreak/>
        <w:t xml:space="preserve">Общая стоимость работ, выполняемых по настоящему договору, является предельной, приблизительной и составляет </w:t>
      </w:r>
      <w:r w:rsidR="0043144F" w:rsidRPr="0043144F">
        <w:rPr>
          <w:b/>
        </w:rPr>
        <w:t>5</w:t>
      </w:r>
      <w:r w:rsidRPr="0043144F">
        <w:rPr>
          <w:b/>
        </w:rPr>
        <w:t>00</w:t>
      </w:r>
      <w:r>
        <w:rPr>
          <w:b/>
        </w:rPr>
        <w:t> 000,00 (</w:t>
      </w:r>
      <w:r w:rsidR="00113A08">
        <w:rPr>
          <w:b/>
        </w:rPr>
        <w:t>пятьсот</w:t>
      </w:r>
      <w:r>
        <w:rPr>
          <w:b/>
        </w:rPr>
        <w:t xml:space="preserve"> тысяч) рублей 00 копеек,</w:t>
      </w:r>
      <w:r>
        <w:t xml:space="preserve"> </w:t>
      </w:r>
      <w:r>
        <w:rPr>
          <w:b/>
        </w:rPr>
        <w:t>цена работ по Договору увеличивается на НДС по ставке, установленной Налоговым кодексом РФ</w:t>
      </w:r>
      <w:r>
        <w:t xml:space="preserve"> 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bookmarkStart w:id="0" w:name="_GoBack"/>
      <w:bookmarkEnd w:id="0"/>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lastRenderedPageBreak/>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w:t>
      </w:r>
      <w:r w:rsidRPr="006A3F40">
        <w:rPr>
          <w:color w:val="000000" w:themeColor="text1"/>
        </w:rPr>
        <w:lastRenderedPageBreak/>
        <w:t xml:space="preserve">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1"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1"/>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25373404"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652DFC">
        <w:rPr>
          <w:b/>
        </w:rPr>
        <w:t>1</w:t>
      </w:r>
      <w:r w:rsidR="00E85BA0" w:rsidRPr="006A3F40">
        <w:rPr>
          <w:b/>
        </w:rPr>
        <w:t>.</w:t>
      </w:r>
      <w:r w:rsidR="00B624B5">
        <w:rPr>
          <w:b/>
        </w:rPr>
        <w:t>1</w:t>
      </w:r>
      <w:r w:rsidR="0043144F">
        <w:rPr>
          <w:b/>
        </w:rPr>
        <w:t>2</w:t>
      </w:r>
      <w:r w:rsidR="00E85BA0" w:rsidRPr="006A3F40">
        <w:rPr>
          <w:b/>
        </w:rPr>
        <w:t>.202</w:t>
      </w:r>
      <w:r w:rsidR="00A40E5E">
        <w:rPr>
          <w:b/>
        </w:rPr>
        <w:t>4</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w:t>
      </w:r>
      <w:r w:rsidR="003D1C41" w:rsidRPr="006A3F40">
        <w:lastRenderedPageBreak/>
        <w:t>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88EF1D1"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proofErr w:type="gramStart"/>
      <w:r w:rsidR="001B1527">
        <w:t xml:space="preserve"> </w:t>
      </w:r>
      <w:r w:rsidR="0043144F">
        <w:t xml:space="preserve"> </w:t>
      </w:r>
      <w:r w:rsidR="000B5ED0">
        <w:t xml:space="preserve"> </w:t>
      </w:r>
      <w:r w:rsidR="00E0359F" w:rsidRPr="006A3F40">
        <w:rPr>
          <w:b/>
        </w:rPr>
        <w:t>(</w:t>
      </w:r>
      <w:proofErr w:type="gramEnd"/>
      <w:r w:rsidR="0043144F">
        <w:rPr>
          <w:b/>
        </w:rPr>
        <w:t xml:space="preserve">    </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w:t>
      </w:r>
      <w:r w:rsidRPr="006A3F40">
        <w:lastRenderedPageBreak/>
        <w:t>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w:t>
      </w:r>
      <w:r w:rsidRPr="006A3F40">
        <w:lastRenderedPageBreak/>
        <w:t xml:space="preserve">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w:t>
      </w:r>
      <w:r w:rsidRPr="006A3F40">
        <w:lastRenderedPageBreak/>
        <w:t>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6A3F40">
        <w:rPr>
          <w:bCs/>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lastRenderedPageBreak/>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lastRenderedPageBreak/>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lastRenderedPageBreak/>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lastRenderedPageBreak/>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w:t>
      </w:r>
      <w:r w:rsidRPr="006A3F40">
        <w:lastRenderedPageBreak/>
        <w:t xml:space="preserve">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lastRenderedPageBreak/>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B624B5">
      <w:pPr>
        <w:numPr>
          <w:ilvl w:val="0"/>
          <w:numId w:val="40"/>
        </w:numPr>
        <w:tabs>
          <w:tab w:val="num" w:pos="709"/>
        </w:tabs>
        <w:ind w:left="0" w:firstLine="284"/>
        <w:jc w:val="both"/>
        <w:rPr>
          <w:bCs/>
        </w:rPr>
      </w:pPr>
      <w:r>
        <w:rPr>
          <w:bCs/>
        </w:rPr>
        <w:t>Приложение №1 – Техническое задание</w:t>
      </w:r>
    </w:p>
    <w:p w14:paraId="6B4B6998" w14:textId="77777777" w:rsidR="00B624B5" w:rsidRDefault="00B624B5" w:rsidP="00B624B5">
      <w:pPr>
        <w:pStyle w:val="ad"/>
        <w:numPr>
          <w:ilvl w:val="0"/>
          <w:numId w:val="40"/>
        </w:numPr>
        <w:tabs>
          <w:tab w:val="num" w:pos="709"/>
        </w:tabs>
        <w:ind w:left="0" w:firstLine="284"/>
        <w:jc w:val="both"/>
        <w:rPr>
          <w:bCs/>
        </w:rPr>
      </w:pPr>
      <w:r>
        <w:rPr>
          <w:bCs/>
        </w:rPr>
        <w:t>Приложение №2 - Форма заявки;</w:t>
      </w:r>
    </w:p>
    <w:p w14:paraId="471ED62B" w14:textId="77777777" w:rsidR="00B624B5" w:rsidRDefault="00B624B5" w:rsidP="00B624B5">
      <w:pPr>
        <w:pStyle w:val="ad"/>
        <w:numPr>
          <w:ilvl w:val="0"/>
          <w:numId w:val="40"/>
        </w:numPr>
        <w:tabs>
          <w:tab w:val="num" w:pos="709"/>
        </w:tabs>
        <w:ind w:left="0" w:firstLine="284"/>
        <w:jc w:val="both"/>
        <w:rPr>
          <w:bCs/>
        </w:rPr>
      </w:pPr>
      <w:r>
        <w:rPr>
          <w:bCs/>
        </w:rPr>
        <w:t>Приложение №3 - Форма реестра Заявок;</w:t>
      </w:r>
    </w:p>
    <w:p w14:paraId="050B0378" w14:textId="77777777" w:rsidR="00B624B5" w:rsidRDefault="00B624B5" w:rsidP="00B624B5">
      <w:pPr>
        <w:numPr>
          <w:ilvl w:val="0"/>
          <w:numId w:val="40"/>
        </w:numPr>
        <w:tabs>
          <w:tab w:val="num" w:pos="709"/>
        </w:tabs>
        <w:ind w:left="0" w:firstLine="284"/>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B624B5">
      <w:pPr>
        <w:numPr>
          <w:ilvl w:val="0"/>
          <w:numId w:val="40"/>
        </w:numPr>
        <w:tabs>
          <w:tab w:val="num" w:pos="709"/>
        </w:tabs>
        <w:ind w:left="0" w:firstLine="284"/>
        <w:rPr>
          <w:bCs/>
          <w:iCs/>
        </w:rPr>
      </w:pPr>
      <w:r>
        <w:rPr>
          <w:bCs/>
        </w:rPr>
        <w:lastRenderedPageBreak/>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B624B5">
      <w:pPr>
        <w:numPr>
          <w:ilvl w:val="0"/>
          <w:numId w:val="40"/>
        </w:numPr>
        <w:tabs>
          <w:tab w:val="num" w:pos="709"/>
        </w:tabs>
        <w:ind w:left="0" w:firstLine="284"/>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7777777" w:rsidR="00B624B5" w:rsidRDefault="00B624B5" w:rsidP="00B624B5">
      <w:pPr>
        <w:numPr>
          <w:ilvl w:val="0"/>
          <w:numId w:val="40"/>
        </w:numPr>
        <w:tabs>
          <w:tab w:val="num" w:pos="567"/>
          <w:tab w:val="num" w:pos="709"/>
        </w:tabs>
        <w:ind w:left="0" w:firstLine="284"/>
        <w:jc w:val="both"/>
        <w:rPr>
          <w:bCs/>
          <w:iCs/>
        </w:rPr>
      </w:pPr>
      <w:r>
        <w:rPr>
          <w:bCs/>
          <w:iCs/>
        </w:rPr>
        <w:t>Приложение №7 –</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 </w:t>
      </w:r>
    </w:p>
    <w:p w14:paraId="16A23484" w14:textId="77777777" w:rsidR="00B624B5" w:rsidRDefault="00B624B5" w:rsidP="00B624B5">
      <w:pPr>
        <w:numPr>
          <w:ilvl w:val="0"/>
          <w:numId w:val="40"/>
        </w:numPr>
        <w:tabs>
          <w:tab w:val="num" w:pos="567"/>
          <w:tab w:val="num" w:pos="709"/>
        </w:tabs>
        <w:ind w:left="0" w:firstLine="284"/>
        <w:jc w:val="both"/>
      </w:pPr>
      <w:r>
        <w:rPr>
          <w:bCs/>
          <w:iCs/>
        </w:rPr>
        <w:t>Приложение №8 – Соглашение о</w:t>
      </w:r>
      <w:r>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992511">
      <w:pPr>
        <w:pStyle w:val="a8"/>
        <w:spacing w:before="0" w:beforeAutospacing="0" w:after="0" w:afterAutospacing="0"/>
        <w:ind w:firstLine="284"/>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36AD0" w14:textId="77777777" w:rsidR="000A49AA" w:rsidRDefault="000A49AA" w:rsidP="00F347FB">
      <w:r>
        <w:separator/>
      </w:r>
    </w:p>
  </w:endnote>
  <w:endnote w:type="continuationSeparator" w:id="0">
    <w:p w14:paraId="765944D8" w14:textId="77777777" w:rsidR="000A49AA" w:rsidRDefault="000A49A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89784D2"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113A08">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A1C9C" w14:textId="77777777" w:rsidR="000A49AA" w:rsidRDefault="000A49AA" w:rsidP="00F347FB">
      <w:r>
        <w:separator/>
      </w:r>
    </w:p>
  </w:footnote>
  <w:footnote w:type="continuationSeparator" w:id="0">
    <w:p w14:paraId="72BA316D" w14:textId="77777777" w:rsidR="000A49AA" w:rsidRDefault="000A49A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49AA"/>
    <w:rsid w:val="000A5E23"/>
    <w:rsid w:val="000B4363"/>
    <w:rsid w:val="000B511F"/>
    <w:rsid w:val="000B5ED0"/>
    <w:rsid w:val="000C1ED8"/>
    <w:rsid w:val="000C4671"/>
    <w:rsid w:val="000D1E4C"/>
    <w:rsid w:val="000D2BDB"/>
    <w:rsid w:val="000E0C6C"/>
    <w:rsid w:val="000E0F3D"/>
    <w:rsid w:val="000E1875"/>
    <w:rsid w:val="000F2569"/>
    <w:rsid w:val="00100340"/>
    <w:rsid w:val="00113A08"/>
    <w:rsid w:val="00114954"/>
    <w:rsid w:val="00114A89"/>
    <w:rsid w:val="0012332B"/>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527"/>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E6879"/>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144F"/>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2DFC"/>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39D8"/>
    <w:rsid w:val="008858B2"/>
    <w:rsid w:val="00897944"/>
    <w:rsid w:val="008A0FD6"/>
    <w:rsid w:val="008A51A5"/>
    <w:rsid w:val="008B007E"/>
    <w:rsid w:val="008B0B1C"/>
    <w:rsid w:val="008B2294"/>
    <w:rsid w:val="008C0012"/>
    <w:rsid w:val="008C0B8B"/>
    <w:rsid w:val="008C1A39"/>
    <w:rsid w:val="008C4ECE"/>
    <w:rsid w:val="008C719A"/>
    <w:rsid w:val="008C75E9"/>
    <w:rsid w:val="008D04C3"/>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5E"/>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76221"/>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9825274">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1EDE2E-2421-4A9A-9A86-EB3DB07C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8941</Words>
  <Characters>50969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admins</cp:lastModifiedBy>
  <cp:revision>17</cp:revision>
  <cp:lastPrinted>2022-10-11T06:30:00Z</cp:lastPrinted>
  <dcterms:created xsi:type="dcterms:W3CDTF">2022-10-24T01:49:00Z</dcterms:created>
  <dcterms:modified xsi:type="dcterms:W3CDTF">2024-04-18T06:54:00Z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